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7B" w:rsidRDefault="002244F5">
      <w:pPr>
        <w:spacing w:after="0"/>
        <w:ind w:left="3888" w:firstLine="1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E4057B" w:rsidRDefault="002244F5">
      <w:pPr>
        <w:spacing w:after="0"/>
        <w:ind w:left="3888" w:firstLine="1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Trakų r. Lentvario Motiejaus </w:t>
      </w:r>
    </w:p>
    <w:p w:rsidR="00E4057B" w:rsidRDefault="002244F5">
      <w:pPr>
        <w:spacing w:after="0"/>
        <w:ind w:left="3888" w:firstLine="1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Šimelionio gimnazijos direktoriaus</w:t>
      </w:r>
    </w:p>
    <w:p w:rsidR="00E4057B" w:rsidRDefault="002244F5">
      <w:pPr>
        <w:spacing w:after="0"/>
        <w:ind w:left="3888" w:firstLine="1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m. gegužės 21 d. įsakymu Nr. V-89</w:t>
      </w:r>
    </w:p>
    <w:p w:rsidR="00E4057B" w:rsidRDefault="00E4057B">
      <w:pPr>
        <w:spacing w:after="0"/>
        <w:ind w:left="3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224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TRAKŲ R. LENTVARIO MOTIEJAUS ŠIMELIONIO GIMNAZIJOS</w:t>
      </w:r>
    </w:p>
    <w:p w:rsidR="00E4057B" w:rsidRDefault="00224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ILGALAIKIŲ PLANŲ RENGIMO TVARKOS APRAŠAS</w:t>
      </w:r>
    </w:p>
    <w:p w:rsidR="00E4057B" w:rsidRDefault="00E405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57B" w:rsidRDefault="00E4057B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</w:p>
    <w:p w:rsidR="00E4057B" w:rsidRDefault="00224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BENDROSIOS NUOSTATOS</w:t>
      </w:r>
    </w:p>
    <w:p w:rsidR="00E4057B" w:rsidRDefault="00E405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Kiekvienas mokytojas rengia dėstomo dalyko ilgalaikius planus, vadovaudamasis Vidurinio ugdymo bendrosiomis programomis, patvirtintomis Lietuvos Respublikos švietimo ir mokslo ministro 2011 m. vasario 21 d. įsakymu Nr. V-269 (pakeitimas 2013 m. liepos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Nr. v-654), Pradinio ir Pagrindinio ugdymo bendrosiomis programomis, patvirtintomis Lietuvos Respublikos švietimo ir mokslo ministro 2008 m. rugpjūčio 26 d. įsakymu Nr. ISAK-2433, gimnazijos metodinės tarybos bei metodinių grupių nutarimais.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Dalyko ilgalaikis planas – tam tikro dalyko mokinių mokymosi organizavimo per metus numatymas, apimantis ilgalaikius ugdymo tikslus, kylančius iš klasės situacijos, stambius darbo etapus, laiko paskirstymą, mokymosi rezultatus, tam tikrų priemonių pasireng</w:t>
      </w:r>
      <w:r>
        <w:rPr>
          <w:rFonts w:ascii="Times New Roman" w:eastAsia="Times New Roman" w:hAnsi="Times New Roman" w:cs="Times New Roman"/>
          <w:sz w:val="24"/>
          <w:szCs w:val="24"/>
        </w:rPr>
        <w:t>imą bei dalykų integraciją.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Dalyko trumpalaikis planas – detalizuotas artimiausio etapo darbų planavimas.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Pamokos planas – detalus vienos pamokos darbo planavimas.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Planavimo būtinumas: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darbo planavimas privalomas kiekvienam mokytojui;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ilgalaikis planas privalomas kiekvienam mokytojui;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trumpalaikis planas rekomenduojamas;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pamokos planas rekomenduojamas;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pirmus dvejus metus dirbantis mokytojas arba mokytojas, dėl kurio pamokų kokybės kyla klausimų, turi rengti trumpala</w:t>
      </w:r>
      <w:r>
        <w:rPr>
          <w:rFonts w:ascii="Times New Roman" w:eastAsia="Times New Roman" w:hAnsi="Times New Roman" w:cs="Times New Roman"/>
          <w:sz w:val="24"/>
          <w:szCs w:val="24"/>
        </w:rPr>
        <w:t>ikius bei pamokos planus, jei trumpalaikiam plane pamokos suplanuotos itin detaliai, atskirų pamokų planų rašyti nebūtina.</w:t>
      </w:r>
    </w:p>
    <w:p w:rsidR="00E4057B" w:rsidRDefault="00224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Ilgalaikiai planai, trumpalaikiai planai bei pamokos planai turi derėti tarpusavyje.</w:t>
      </w:r>
    </w:p>
    <w:p w:rsidR="00E4057B" w:rsidRDefault="00E405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57B" w:rsidRDefault="00224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ILGALAIKIŲ PLANŲ RENGIMO TVARKA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Ilgalaikiai planai turi derėti su: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gimnazijos tikslais ir uždaviniais;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gimnazijos intelektualine, materialine, technologine baze;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atskiros klasės situacijos analize.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Ilgalaikiame plane numatomas tam tikras pamokų rezervas. 2 pamokų rez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ervas numatomas, jei dalyko dėstymui skiriamos 1-2 savaitinės pamokos, 3 pamokų rezervas numatomas, jei dalyko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dėstymui skiriamos 3-4 savaitinės pamokos, 4 pamokų rezervas numatomas, jei dalyko dėstymui skiriamos 5-6 savaitinės pamokos.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Rezervinės pamok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planuojamos metams, jų skaičius nurodomas ilgalaikio plano pabaigoje.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Ilgalaikiuose planuose turi būti vieta pastaboms, kurios pildomos visus mokslo metus.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Ilgalaikių planų pradžioje turi būti nurodyta: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 tikslai, suderinti su bendrosiomis programomis ir gimnazijos tikslai;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uždaviniai;</w:t>
      </w:r>
    </w:p>
    <w:p w:rsidR="00E4057B" w:rsidRPr="00B90B37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37">
        <w:rPr>
          <w:rFonts w:ascii="Times New Roman" w:eastAsia="Times New Roman" w:hAnsi="Times New Roman" w:cs="Times New Roman"/>
          <w:sz w:val="24"/>
          <w:szCs w:val="24"/>
        </w:rPr>
        <w:t>11.3. klasės situacijos analizė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057B" w:rsidRPr="00B90B37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37">
        <w:rPr>
          <w:rFonts w:ascii="Times New Roman" w:eastAsia="Times New Roman" w:hAnsi="Times New Roman" w:cs="Times New Roman"/>
          <w:sz w:val="24"/>
          <w:szCs w:val="24"/>
        </w:rPr>
        <w:t>11.4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 xml:space="preserve"> integruojamos programos.</w:t>
      </w:r>
    </w:p>
    <w:p w:rsidR="00E4057B" w:rsidRPr="00B90B37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37">
        <w:rPr>
          <w:rFonts w:ascii="Times New Roman" w:eastAsia="Times New Roman" w:hAnsi="Times New Roman" w:cs="Times New Roman"/>
          <w:sz w:val="24"/>
          <w:szCs w:val="24"/>
        </w:rPr>
        <w:t>12. Ilgalaikiuose planuose turi atsispindėti lavinami esminiai mokinių gebėjimai, pasiekimai, mokym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spellStart"/>
      <w:r w:rsidRPr="00B90B3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90B37">
        <w:rPr>
          <w:rFonts w:ascii="Times New Roman" w:eastAsia="Times New Roman" w:hAnsi="Times New Roman" w:cs="Times New Roman"/>
          <w:sz w:val="24"/>
          <w:szCs w:val="24"/>
        </w:rPr>
        <w:t xml:space="preserve">) metodai, integraciniai ryšiai, vertinimas, vertinimo būdai, atsiskaitymo formos, naudojama literatūra, 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>skaitmeniniai ištekliai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 xml:space="preserve"> kompiuterinės programos, garso, vaizdo ir kt. medžiaga.</w:t>
      </w:r>
    </w:p>
    <w:p w:rsidR="00E4057B" w:rsidRPr="00B90B37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B90B37">
        <w:rPr>
          <w:rFonts w:ascii="Times New Roman" w:eastAsia="Times New Roman" w:hAnsi="Times New Roman" w:cs="Times New Roman"/>
          <w:sz w:val="24"/>
          <w:szCs w:val="24"/>
        </w:rPr>
        <w:t xml:space="preserve">13. Mokytojas privalo naudotis ilgalaikio plano struktūra, kuriai 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 xml:space="preserve">pritarta tam tikroje metodinėje grupėje 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>(prieda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90B37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Ilgalaikiuose planuose paliktoje vietoje pastaboms, mokytojas nuolat fiksuoja ir analizuoja informaciją apie mokinius, mokinių grupę, klasę, ja vadovaudamasis koreguoja ugdymo procesą.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Tikslų numatytų kontrolinių darbų laiką ugdymo proceso metu derina klasėje dirbantys mokytojai.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tabs>
          <w:tab w:val="left" w:pos="26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BAIGIAMOSIOS NUOSTATOS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tabs>
          <w:tab w:val="left" w:pos="26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Ilgalaikio plano struktūra svarstoma ir suderinama kiekvienoje metodinėje grupėje.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tabs>
          <w:tab w:val="left" w:pos="26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Prireikus metodinė grupė gali keisti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ilgalaikio plano struktūrą. Keitimas bei jo priežastys fiksuojamos metodinės grupės protokole ir teikiamos metodinei tarybai.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tabs>
          <w:tab w:val="left" w:pos="26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Kiekvienų mokslo metų pradžioje, iki rugsėjo 1 d., dalykų ilgalaikiai planai aprobuojami metodinės grupės susirinkime.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tabs>
          <w:tab w:val="left" w:pos="26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galaikiai planai derinami su dalyką kuruojančiu direktoriaus pavaduotoju ugdymui.</w:t>
      </w:r>
    </w:p>
    <w:p w:rsidR="00E4057B" w:rsidRDefault="002244F5">
      <w:pPr>
        <w:pBdr>
          <w:top w:val="nil"/>
          <w:left w:val="nil"/>
          <w:bottom w:val="nil"/>
          <w:right w:val="nil"/>
          <w:between w:val="nil"/>
        </w:pBdr>
        <w:tabs>
          <w:tab w:val="left" w:pos="26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Metodinės grupės aprobuotą ir su dalyką kuruojančiu direktoriaus pavaduotoju ugdymui suderintą ilgalaikį planą/variantą mokytojas privalo turėti savo darbo vietoje, juo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audotis bei prireikus pateikti gimnazijos administracijai ar gimnaziją vizituojantiems specialistams.</w:t>
      </w:r>
    </w:p>
    <w:p w:rsidR="00E4057B" w:rsidRDefault="002244F5">
      <w:pPr>
        <w:spacing w:after="0" w:line="240" w:lineRule="auto"/>
        <w:ind w:left="567"/>
        <w:jc w:val="center"/>
      </w:pPr>
      <w:r>
        <w:rPr>
          <w:rFonts w:ascii="Times New Roman" w:eastAsia="Times New Roman" w:hAnsi="Times New Roman" w:cs="Times New Roman"/>
        </w:rPr>
        <w:t>________________________________</w:t>
      </w:r>
      <w:r>
        <w:t>___</w:t>
      </w:r>
    </w:p>
    <w:p w:rsidR="00E4057B" w:rsidRDefault="00E4057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244F5" w:rsidRDefault="002244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244F5" w:rsidRDefault="002244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2244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PRITARTA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Metodinės tarybos posėdžio 2020-05-19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Protokolo Nr. 5 nutarimu</w:t>
      </w:r>
    </w:p>
    <w:p w:rsidR="00E4057B" w:rsidRDefault="00E4057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90B37" w:rsidRDefault="00B90B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057B" w:rsidRDefault="0022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PRIEDAS 1</w:t>
      </w:r>
    </w:p>
    <w:p w:rsidR="00E4057B" w:rsidRDefault="00B90B37" w:rsidP="00B90B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r w:rsidR="002244F5">
        <w:rPr>
          <w:rFonts w:ascii="Times New Roman" w:eastAsia="Times New Roman" w:hAnsi="Times New Roman" w:cs="Times New Roman"/>
          <w:sz w:val="24"/>
          <w:szCs w:val="24"/>
        </w:rPr>
        <w:t>akų r. Lentvario Motiejaus Šimelionio gimnazija</w:t>
      </w:r>
    </w:p>
    <w:p w:rsidR="00E4057B" w:rsidRDefault="00E4057B">
      <w:pPr>
        <w:spacing w:after="28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2244F5">
      <w:pPr>
        <w:spacing w:after="28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after="28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DALYKAS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202_/202_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ilgalaikis planas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(_ klasė, _ val.)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Aprobuotas ___________________ metodinėje grupėje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202_ m. rugpjūčio __ d., protokolo Nr._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(Parengė:____________________________________ )</w:t>
      </w:r>
    </w:p>
    <w:p w:rsidR="00E4057B" w:rsidRDefault="00E405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E405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E405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E405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E405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E405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2244F5">
      <w:pPr>
        <w:spacing w:before="240" w:after="24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7B" w:rsidRDefault="00E4057B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B37" w:rsidRDefault="002244F5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Lentvaris, 202_ m.</w:t>
      </w:r>
    </w:p>
    <w:p w:rsidR="00B90B37" w:rsidRDefault="00B90B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057B" w:rsidRDefault="002244F5">
      <w:pPr>
        <w:spacing w:before="240" w:after="240" w:line="240" w:lineRule="auto"/>
        <w:ind w:righ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PAMOKŲ SKAIČIUS</w:t>
      </w:r>
      <w:r>
        <w:rPr>
          <w:rFonts w:ascii="Times New Roman" w:eastAsia="Times New Roman" w:hAnsi="Times New Roman" w:cs="Times New Roman"/>
          <w:sz w:val="24"/>
          <w:szCs w:val="24"/>
        </w:rPr>
        <w:t>: _ pamokos per savaitę, _ pamokos per mokslo metus (__ savaitės pagal ugdymo planą).</w:t>
      </w:r>
    </w:p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LAIKOTARPIS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20__-20___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MOKYMO IR MOKYMOSI PRIEMONĖS:</w:t>
      </w:r>
    </w:p>
    <w:p w:rsidR="00E4057B" w:rsidRDefault="002244F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PAGRINDINIAI METŲ MOKYMO IR MOKYMOSI UŽDAVINIAI: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057B" w:rsidRDefault="002244F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VERTINIMAS:</w:t>
      </w:r>
      <w:r w:rsidR="00B90B3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Mokinių pasiekimai vertinami pagal gimnazijos direktoriaus patvirtintą Mokinių pažangos ir pasiekimų vertinimo aprašą (2019-07-01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Nr. V-97), parengtą vadovaujantis Mokinių pažangos ir pasiekimų vertinimo samprata, patvirtinta Lietuvos Respublikos švi</w:t>
      </w:r>
      <w:r>
        <w:rPr>
          <w:rFonts w:ascii="Times New Roman" w:eastAsia="Times New Roman" w:hAnsi="Times New Roman" w:cs="Times New Roman"/>
          <w:sz w:val="24"/>
          <w:szCs w:val="24"/>
        </w:rPr>
        <w:t>etimo ir mokslo ministro 2004 m. vasario 25 d. įsakymu Nr. ISAK – 256 (Žin., 2004, Nr.35 – 1150).</w:t>
      </w:r>
    </w:p>
    <w:p w:rsidR="00E4057B" w:rsidRDefault="00B90B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2244F5">
        <w:rPr>
          <w:rFonts w:ascii="Times New Roman" w:eastAsia="Times New Roman" w:hAnsi="Times New Roman" w:cs="Times New Roman"/>
          <w:sz w:val="24"/>
          <w:szCs w:val="24"/>
        </w:rPr>
        <w:t>( METODINĖJE GRUPĖJE APTARTI VERTINIMO KRITERIJAI)</w:t>
      </w:r>
    </w:p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BENDRIEJI GEBĖJIMAI: </w:t>
      </w:r>
    </w:p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Socialinė klasės charakteristika:</w:t>
      </w:r>
    </w:p>
    <w:p w:rsidR="00E4057B" w:rsidRDefault="002244F5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222222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highlight w:val="white"/>
        </w:rPr>
        <w:t>Mokymo(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highlight w:val="white"/>
        </w:rPr>
        <w:t>si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highlight w:val="white"/>
        </w:rPr>
        <w:t>) priemonės :</w:t>
      </w:r>
    </w:p>
    <w:p w:rsidR="00E4057B" w:rsidRDefault="002244F5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222222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highlight w:val="white"/>
        </w:rPr>
        <w:t>Integruoja</w:t>
      </w: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highlight w:val="white"/>
        </w:rPr>
        <w:t>mos programos:</w:t>
      </w:r>
    </w:p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 LIETUVIŲ KALBOS  METODINĖS GRUPĖS ilgalaikio plano struktūra</w:t>
      </w:r>
      <w:r>
        <w:rPr>
          <w:rFonts w:ascii="Times New Roman" w:eastAsia="Times New Roman" w:hAnsi="Times New Roman" w:cs="Times New Roman"/>
        </w:rPr>
        <w:t>:</w:t>
      </w:r>
    </w:p>
    <w:p w:rsidR="00E4057B" w:rsidRDefault="002244F5">
      <w:pPr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 Lietuvių kalbos ir literatūros ilgalaikiai planai 5-10 kl.:</w:t>
      </w:r>
    </w:p>
    <w:tbl>
      <w:tblPr>
        <w:tblStyle w:val="a"/>
        <w:tblW w:w="96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10"/>
        <w:gridCol w:w="885"/>
        <w:gridCol w:w="3165"/>
        <w:gridCol w:w="1950"/>
        <w:gridCol w:w="1912"/>
      </w:tblGrid>
      <w:tr w:rsidR="00E4057B">
        <w:trPr>
          <w:trHeight w:val="1010"/>
        </w:trPr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Sav.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B90B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Kalbos sistemos pažinimo mokymasis             ( </w:t>
            </w:r>
            <w:r w:rsidR="00B90B3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B90B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Kalbos vartojimo ugdymas  ( </w:t>
            </w:r>
            <w:r w:rsidR="00B90B3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B90B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Literatūrinis ugdymas                                                    (</w:t>
            </w:r>
            <w:r w:rsidR="00B90B3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4057B">
        <w:trPr>
          <w:trHeight w:val="725"/>
        </w:trPr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E4057B">
            <w:pPr>
              <w:spacing w:before="120" w:after="120"/>
              <w:ind w:left="6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E4057B">
            <w:pPr>
              <w:spacing w:before="120" w:after="120"/>
              <w:ind w:left="6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E4057B">
            <w:pPr>
              <w:spacing w:before="120" w:after="120"/>
              <w:ind w:left="6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ind w:lef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ind w:lef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ind w:lef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4057B" w:rsidRDefault="00E4057B">
      <w:pPr>
        <w:spacing w:before="16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6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"/>
        <w:gridCol w:w="1605"/>
        <w:gridCol w:w="2003"/>
        <w:gridCol w:w="2094"/>
        <w:gridCol w:w="3020"/>
      </w:tblGrid>
      <w:tr w:rsidR="00E4057B">
        <w:trPr>
          <w:trHeight w:val="1010"/>
        </w:trPr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Sav.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pasiekimai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temos (su orientaciniu val. sk.)</w:t>
            </w:r>
          </w:p>
        </w:tc>
        <w:tc>
          <w:tcPr>
            <w:tcW w:w="2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Siūlomos ugdymo veiklos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Mokomoji ir metodinė medžiaga, skaitmeniniai ištekliai</w:t>
            </w:r>
          </w:p>
        </w:tc>
      </w:tr>
      <w:tr w:rsidR="00E4057B">
        <w:trPr>
          <w:trHeight w:val="725"/>
        </w:trPr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E4057B">
            <w:pPr>
              <w:spacing w:before="120" w:after="120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20" w:after="120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057B" w:rsidRDefault="002244F5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  Lietuvių kalbos ir literatūros ilgalaikiai planai III - IV kl.:</w:t>
      </w:r>
    </w:p>
    <w:tbl>
      <w:tblPr>
        <w:tblStyle w:val="a1"/>
        <w:tblW w:w="9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185"/>
        <w:gridCol w:w="1440"/>
        <w:gridCol w:w="1665"/>
        <w:gridCol w:w="1470"/>
        <w:gridCol w:w="1395"/>
        <w:gridCol w:w="1215"/>
      </w:tblGrid>
      <w:tr w:rsidR="00E4057B">
        <w:trPr>
          <w:trHeight w:val="179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Tikslai, uždaviniai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Metodai, formos, skaitmeniniai ištekliai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Vertinimas, integracija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rezultatas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57B">
        <w:trPr>
          <w:trHeight w:val="510"/>
        </w:trPr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E4057B">
            <w:pPr>
              <w:spacing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DORINIO UGDYMO, MENŲ IR TECHNOLOGIJŲ METODINĖS GRUPĖS ilgalaikio plano struktūra:</w:t>
      </w:r>
    </w:p>
    <w:tbl>
      <w:tblPr>
        <w:tblStyle w:val="a2"/>
        <w:tblW w:w="9735" w:type="dxa"/>
        <w:tblInd w:w="-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545"/>
        <w:gridCol w:w="1425"/>
        <w:gridCol w:w="1380"/>
        <w:gridCol w:w="960"/>
        <w:gridCol w:w="1575"/>
        <w:gridCol w:w="1095"/>
        <w:gridCol w:w="1200"/>
      </w:tblGrid>
      <w:tr w:rsidR="00E4057B">
        <w:trPr>
          <w:trHeight w:val="156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pavadinimas,tema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valandos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pasiekimai (laukiami rezultatai, BP)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Integracija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Vertinimas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Skaitmeniniai ištekliai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4057B">
        <w:trPr>
          <w:trHeight w:val="465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UŽSIENIO KALBŲ METODINĖS GRUPĖS ilgalaikio plano struktūra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485"/>
        <w:gridCol w:w="1785"/>
        <w:gridCol w:w="1290"/>
        <w:gridCol w:w="1365"/>
        <w:gridCol w:w="1485"/>
        <w:gridCol w:w="1380"/>
      </w:tblGrid>
      <w:tr w:rsidR="00E4057B">
        <w:trPr>
          <w:trHeight w:val="180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Eil.nr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Modulio tema</w:t>
            </w:r>
          </w:p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potemė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valandų skaičius)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Gebėjimai  (kompetencijos)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Integracija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Vertinimas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Skaitmeniniai ištekliai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E4057B">
        <w:trPr>
          <w:trHeight w:val="63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240" w:after="160" w:line="25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 </w:t>
      </w:r>
      <w:r>
        <w:rPr>
          <w:rFonts w:ascii="Times New Roman" w:eastAsia="Times New Roman" w:hAnsi="Times New Roman" w:cs="Times New Roman"/>
          <w:sz w:val="24"/>
          <w:szCs w:val="24"/>
        </w:rPr>
        <w:t>MATEMATIKOS IR INFORMACINIŲ TECHNOLOGIJŲ METODINĖS GRUPĖS ilgalaikio plano struktūra:</w:t>
      </w:r>
    </w:p>
    <w:p w:rsidR="00E4057B" w:rsidRDefault="002244F5">
      <w:pPr>
        <w:spacing w:before="16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 IT</w:t>
      </w:r>
    </w:p>
    <w:tbl>
      <w:tblPr>
        <w:tblStyle w:val="a4"/>
        <w:tblW w:w="964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"/>
        <w:gridCol w:w="1906"/>
        <w:gridCol w:w="1319"/>
        <w:gridCol w:w="1319"/>
        <w:gridCol w:w="1319"/>
        <w:gridCol w:w="1319"/>
        <w:gridCol w:w="1707"/>
      </w:tblGrid>
      <w:tr w:rsidR="00E4057B">
        <w:trPr>
          <w:trHeight w:val="88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highlight w:val="white"/>
              </w:rPr>
              <w:t>Gebėjimai, vertinimas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Integracija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Skaitmeninės priemonės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4057B">
        <w:trPr>
          <w:trHeight w:val="495"/>
        </w:trPr>
        <w:tc>
          <w:tcPr>
            <w:tcW w:w="7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color w:val="232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32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4057B" w:rsidRDefault="002244F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1.4.2 Matematika</w:t>
      </w:r>
    </w:p>
    <w:tbl>
      <w:tblPr>
        <w:tblStyle w:val="a5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200"/>
        <w:gridCol w:w="1455"/>
        <w:gridCol w:w="705"/>
        <w:gridCol w:w="1395"/>
        <w:gridCol w:w="1695"/>
        <w:gridCol w:w="1545"/>
        <w:gridCol w:w="1170"/>
      </w:tblGrid>
      <w:tr w:rsidR="00E4057B">
        <w:trPr>
          <w:trHeight w:val="12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</w:p>
          <w:p w:rsidR="00E4057B" w:rsidRDefault="002244F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sritis</w:t>
            </w:r>
          </w:p>
          <w:p w:rsidR="00E4057B" w:rsidRDefault="002244F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(skyrius)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Pagrindinės</w:t>
            </w:r>
          </w:p>
          <w:p w:rsidR="00E4057B" w:rsidRDefault="002244F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Val</w:t>
            </w:r>
            <w:proofErr w:type="spellEnd"/>
          </w:p>
          <w:p w:rsidR="00E4057B" w:rsidRDefault="002244F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Gebėjimai, vertinimas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Skaitmeniniai ištekliai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Integravimo</w:t>
            </w:r>
          </w:p>
          <w:p w:rsidR="00E4057B" w:rsidRDefault="002244F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galimybės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4057B">
        <w:trPr>
          <w:trHeight w:val="51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pStyle w:val="Antrat1"/>
              <w:keepNext w:val="0"/>
              <w:keepLines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pr06zj9f9evi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E4057B" w:rsidRDefault="002244F5">
      <w:pPr>
        <w:spacing w:before="16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 FIZINIO UGDYMO  METODINĖ GRUPĖS ilgalaikio plano struktūra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a6"/>
        <w:tblW w:w="96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721"/>
        <w:gridCol w:w="1935"/>
        <w:gridCol w:w="1500"/>
        <w:gridCol w:w="1575"/>
        <w:gridCol w:w="1380"/>
      </w:tblGrid>
      <w:tr w:rsidR="00E4057B">
        <w:trPr>
          <w:trHeight w:val="1886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Veiklos sritis, mėnuo, valandų skaičius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Gebėjimai pagal bendrąja fizinio ugdymo programą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Ugdymo turinys, skaitmeniniai ištekliai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Vertin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>imas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Integracija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057B" w:rsidRDefault="002244F5" w:rsidP="002244F5">
            <w:pPr>
              <w:spacing w:before="16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E4057B">
        <w:trPr>
          <w:trHeight w:val="405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E4057B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60"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60"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60"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60"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before="160"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4057B" w:rsidRDefault="00E4057B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57B" w:rsidRDefault="002244F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1.6 SOCIALINIŲ MOKSLŲ  METODINĖS GRUPĖS ilgalaikio plano struktūra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a7"/>
        <w:tblW w:w="98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50"/>
        <w:gridCol w:w="1185"/>
        <w:gridCol w:w="2115"/>
        <w:gridCol w:w="1275"/>
        <w:gridCol w:w="1275"/>
        <w:gridCol w:w="1260"/>
        <w:gridCol w:w="1065"/>
      </w:tblGrid>
      <w:tr w:rsidR="00E4057B" w:rsidTr="00B90B37">
        <w:trPr>
          <w:trHeight w:val="1731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Turinio tematika</w:t>
            </w:r>
          </w:p>
          <w:p w:rsidR="00E4057B" w:rsidRDefault="00E4057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gebėjimai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Rekomenduojamos</w:t>
            </w:r>
          </w:p>
          <w:p w:rsidR="00E4057B" w:rsidRDefault="002244F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(metodai)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Vertinimas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Integracija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Skaitmeniniai ištekliai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57B" w:rsidRDefault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57B" w:rsidRDefault="002244F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B90B37" w:rsidTr="00B90B37">
        <w:trPr>
          <w:trHeight w:val="47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B37" w:rsidRDefault="00B90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4057B" w:rsidRDefault="002244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6wjb2qyli95z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1.7 GAMTOS MOKSLŲ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METODINĖS GRUPĖS ilgalaikio plano struktūra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97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005"/>
        <w:gridCol w:w="1770"/>
        <w:gridCol w:w="1238"/>
        <w:gridCol w:w="1276"/>
        <w:gridCol w:w="1146"/>
        <w:gridCol w:w="1575"/>
        <w:gridCol w:w="1065"/>
      </w:tblGrid>
      <w:tr w:rsidR="00E4057B" w:rsidTr="00B90B37">
        <w:trPr>
          <w:trHeight w:val="660"/>
        </w:trPr>
        <w:tc>
          <w:tcPr>
            <w:tcW w:w="705" w:type="dxa"/>
          </w:tcPr>
          <w:p w:rsidR="00E4057B" w:rsidRDefault="002244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="00B90B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.Nr</w:t>
            </w:r>
            <w:r w:rsidR="00B90B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E4057B" w:rsidRDefault="002244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770" w:type="dxa"/>
          </w:tcPr>
          <w:p w:rsidR="00E4057B" w:rsidRDefault="002244F5" w:rsidP="00B90B37">
            <w:pPr>
              <w:spacing w:after="160" w:line="259" w:lineRule="auto"/>
              <w:ind w:right="-72" w:hanging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Gebėjimai  (kompetencijos)</w:t>
            </w:r>
          </w:p>
        </w:tc>
        <w:tc>
          <w:tcPr>
            <w:tcW w:w="1238" w:type="dxa"/>
          </w:tcPr>
          <w:p w:rsidR="00E4057B" w:rsidRDefault="002244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E4057B" w:rsidRDefault="002244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Integracija</w:t>
            </w:r>
          </w:p>
        </w:tc>
        <w:tc>
          <w:tcPr>
            <w:tcW w:w="1146" w:type="dxa"/>
          </w:tcPr>
          <w:p w:rsidR="00E4057B" w:rsidRDefault="002244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Vertinimas </w:t>
            </w:r>
          </w:p>
        </w:tc>
        <w:tc>
          <w:tcPr>
            <w:tcW w:w="1575" w:type="dxa"/>
          </w:tcPr>
          <w:p w:rsidR="00E4057B" w:rsidRDefault="002244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Skaitmeniniai ištekliai</w:t>
            </w:r>
          </w:p>
        </w:tc>
        <w:tc>
          <w:tcPr>
            <w:tcW w:w="1065" w:type="dxa"/>
          </w:tcPr>
          <w:p w:rsidR="00E4057B" w:rsidRDefault="002244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Pastabos </w:t>
            </w:r>
          </w:p>
        </w:tc>
      </w:tr>
      <w:tr w:rsidR="00E4057B" w:rsidTr="00B90B37">
        <w:tc>
          <w:tcPr>
            <w:tcW w:w="705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E4057B" w:rsidRDefault="00E40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57B" w:rsidRDefault="002244F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057B" w:rsidRDefault="00E4057B">
      <w:pPr>
        <w:spacing w:before="160" w:after="0" w:line="240" w:lineRule="auto"/>
        <w:rPr>
          <w:rFonts w:ascii="Times New Roman" w:eastAsia="Times New Roman" w:hAnsi="Times New Roman" w:cs="Times New Roman"/>
        </w:rPr>
      </w:pPr>
    </w:p>
    <w:sectPr w:rsidR="00E4057B" w:rsidSect="00B90B37">
      <w:pgSz w:w="11906" w:h="16838"/>
      <w:pgMar w:top="709" w:right="851" w:bottom="142" w:left="1418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6E2"/>
    <w:multiLevelType w:val="multilevel"/>
    <w:tmpl w:val="CB7CD9BC"/>
    <w:lvl w:ilvl="0">
      <w:start w:val="1"/>
      <w:numFmt w:val="upperRoman"/>
      <w:lvlText w:val="%1."/>
      <w:lvlJc w:val="left"/>
      <w:pPr>
        <w:ind w:left="3312" w:hanging="720"/>
      </w:pPr>
    </w:lvl>
    <w:lvl w:ilvl="1">
      <w:start w:val="1"/>
      <w:numFmt w:val="lowerLetter"/>
      <w:lvlText w:val="%2."/>
      <w:lvlJc w:val="left"/>
      <w:pPr>
        <w:ind w:left="3672" w:hanging="360"/>
      </w:pPr>
    </w:lvl>
    <w:lvl w:ilvl="2">
      <w:start w:val="1"/>
      <w:numFmt w:val="lowerRoman"/>
      <w:lvlText w:val="%3."/>
      <w:lvlJc w:val="right"/>
      <w:pPr>
        <w:ind w:left="4392" w:hanging="180"/>
      </w:pPr>
    </w:lvl>
    <w:lvl w:ilvl="3">
      <w:start w:val="1"/>
      <w:numFmt w:val="decimal"/>
      <w:lvlText w:val="%4."/>
      <w:lvlJc w:val="left"/>
      <w:pPr>
        <w:ind w:left="5112" w:hanging="360"/>
      </w:pPr>
    </w:lvl>
    <w:lvl w:ilvl="4">
      <w:start w:val="1"/>
      <w:numFmt w:val="lowerLetter"/>
      <w:lvlText w:val="%5."/>
      <w:lvlJc w:val="left"/>
      <w:pPr>
        <w:ind w:left="5832" w:hanging="360"/>
      </w:pPr>
    </w:lvl>
    <w:lvl w:ilvl="5">
      <w:start w:val="1"/>
      <w:numFmt w:val="lowerRoman"/>
      <w:lvlText w:val="%6."/>
      <w:lvlJc w:val="right"/>
      <w:pPr>
        <w:ind w:left="6552" w:hanging="180"/>
      </w:pPr>
    </w:lvl>
    <w:lvl w:ilvl="6">
      <w:start w:val="1"/>
      <w:numFmt w:val="decimal"/>
      <w:lvlText w:val="%7."/>
      <w:lvlJc w:val="left"/>
      <w:pPr>
        <w:ind w:left="7272" w:hanging="360"/>
      </w:pPr>
    </w:lvl>
    <w:lvl w:ilvl="7">
      <w:start w:val="1"/>
      <w:numFmt w:val="lowerLetter"/>
      <w:lvlText w:val="%8."/>
      <w:lvlJc w:val="left"/>
      <w:pPr>
        <w:ind w:left="7992" w:hanging="360"/>
      </w:pPr>
    </w:lvl>
    <w:lvl w:ilvl="8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7B"/>
    <w:rsid w:val="002244F5"/>
    <w:rsid w:val="00B90B37"/>
    <w:rsid w:val="00E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814E"/>
  <w15:docId w15:val="{633553F7-16DB-40B6-B6EF-A5D5A18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11B7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grindinistekstas1">
    <w:name w:val="Pagrindinis tekstas1"/>
    <w:basedOn w:val="prastasis"/>
    <w:rsid w:val="003911B7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CentrBold">
    <w:name w:val="CentrBold"/>
    <w:basedOn w:val="prastasis"/>
    <w:rsid w:val="003911B7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/>
    </w:rPr>
  </w:style>
  <w:style w:type="paragraph" w:customStyle="1" w:styleId="CentrBoldm">
    <w:name w:val="CentrBoldm"/>
    <w:basedOn w:val="CentrBold"/>
    <w:rsid w:val="003911B7"/>
    <w:rPr>
      <w:caps w:val="0"/>
    </w:rPr>
  </w:style>
  <w:style w:type="paragraph" w:customStyle="1" w:styleId="Linija">
    <w:name w:val="Linija"/>
    <w:basedOn w:val="prastasis"/>
    <w:rsid w:val="003911B7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377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rsid w:val="003407D1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TZMO3cD21cjT5CVKk4ZjqdvMA==">AMUW2mU3lTtAZsvgh42IvDO1yO3GUas+d6pfaoKOCahvUOTiPKZbVwpxIk3DinY+u1u7wh45P42yttlTX3gfO2pUzOQbr/bjdyicEdtyYOqQ1GSBcexgyvYYpqIx2r704+QhhdDQBloA2IHuKZAjLYsT5kcbd5XjD/sdAGCTMflHx2fE2t5XFJqi3GplSWY5s8BFfk5lZqQ6j8VXABhlZf76OFPXCMyf5XjSErYcFpnf0uHLFN5liEhKXpmHQ4J0c3z9s/HDRD+oV+WsaBZEeEEytup8Yz8J0pf0QTie0pKK23l8zIeRn0M+xPgUw8MEsjdBBIm95j6Zd+O/pqjOj2LABrQpYYjyy113RAAhRaOqCTccYK7is+mywxQzB/NLZTYxjhKm5ljgqYhnjZ3u+pOYzVbAAJsd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4800</Words>
  <Characters>2736</Characters>
  <Application>Microsoft Office Word</Application>
  <DocSecurity>0</DocSecurity>
  <Lines>22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Gimnazija001</dc:creator>
  <cp:lastModifiedBy>„Windows“ vartotojas</cp:lastModifiedBy>
  <cp:revision>3</cp:revision>
  <dcterms:created xsi:type="dcterms:W3CDTF">2020-05-20T08:06:00Z</dcterms:created>
  <dcterms:modified xsi:type="dcterms:W3CDTF">2020-06-17T06:46:00Z</dcterms:modified>
</cp:coreProperties>
</file>